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ind w:left="119"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ind w:left="119"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bl>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line="240" w:lineRule="auto"/>
        <w:rPr>
          <w:rFonts w:ascii="Cormorant" w:cs="Cormorant" w:eastAsia="Cormorant" w:hAnsi="Cormorant"/>
          <w:sz w:val="15"/>
          <w:szCs w:val="15"/>
        </w:rPr>
      </w:pPr>
      <w:r w:rsidDel="00000000" w:rsidR="00000000" w:rsidRPr="00000000">
        <w:rPr>
          <w:rtl w:val="0"/>
        </w:rPr>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ALABAMA </w:t>
      </w: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Outbound</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 if permitted by purchaser’s applicable laws (AL Code, Section 28-4-113). </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before="225" w:line="452" w:lineRule="auto"/>
        <w:ind w:left="0" w:right="1775" w:firstLine="0"/>
        <w:jc w:val="both"/>
        <w:rPr>
          <w:rFonts w:ascii="Calibri" w:cs="Calibri" w:eastAsia="Calibri" w:hAnsi="Calibri"/>
          <w:color w:val="000000"/>
        </w:rPr>
      </w:pPr>
      <w:r w:rsidDel="00000000" w:rsidR="00000000" w:rsidRPr="00000000">
        <w:rPr>
          <w:rFonts w:ascii="Calibri" w:cs="Calibri" w:eastAsia="Calibri" w:hAnsi="Calibri"/>
          <w:b w:val="1"/>
          <w:color w:val="000000"/>
          <w:u w:val="single"/>
          <w:rtl w:val="0"/>
        </w:rPr>
        <w:t xml:space="preserve">Shipment Inbound</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 No (AL Code, Sections 28-4-110 &amp; 111). </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before="47" w:line="240" w:lineRule="auto"/>
        <w:ind w:left="0" w:firstLine="0"/>
        <w:jc w:val="both"/>
        <w:rPr>
          <w:rFonts w:ascii="Calibri" w:cs="Calibri" w:eastAsia="Calibri" w:hAnsi="Calibri"/>
          <w:color w:val="000000"/>
        </w:rPr>
      </w:pPr>
      <w:r w:rsidDel="00000000" w:rsidR="00000000" w:rsidRPr="00000000">
        <w:rPr>
          <w:rFonts w:ascii="Calibri" w:cs="Calibri" w:eastAsia="Calibri" w:hAnsi="Calibri"/>
          <w:b w:val="1"/>
          <w:color w:val="000000"/>
          <w:u w:val="single"/>
          <w:rtl w:val="0"/>
        </w:rPr>
        <w:t xml:space="preserve">Shipment Intra-state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 No, but licenses issued by the Alabama Alcoholic Beverage Control Board, in accordance with § 28-3A-23, authorize licensees to transport and deliver spirits to individuals in the state who are at least 21 years of age. Any entity licensed for off-premises cons</w:t>
      </w:r>
      <w:r w:rsidDel="00000000" w:rsidR="00000000" w:rsidRPr="00000000">
        <w:rPr>
          <w:rFonts w:ascii="Calibri" w:cs="Calibri" w:eastAsia="Calibri" w:hAnsi="Calibri"/>
          <w:rtl w:val="0"/>
        </w:rPr>
        <w:t xml:space="preserve">umption, restaurant licensee, or reputable organization that is registered to do business in Alabama may apply for and be issued a delivery service license. A delivery must be made in a vehicle that is owned or leased by the delivery service licensee or an employee or independent contractor of the licensee. </w:t>
      </w:r>
      <w:r w:rsidDel="00000000" w:rsidR="00000000" w:rsidRPr="00000000">
        <w:rPr>
          <w:rFonts w:ascii="Calibri" w:cs="Calibri" w:eastAsia="Calibri" w:hAnsi="Calibri"/>
          <w:color w:val="000000"/>
          <w:rtl w:val="0"/>
        </w:rPr>
        <w:t xml:space="preserve">A delivery service licensee may not deliver alcohol more than 75 miles from the licensed premise of the re</w:t>
      </w:r>
      <w:r w:rsidDel="00000000" w:rsidR="00000000" w:rsidRPr="00000000">
        <w:rPr>
          <w:rFonts w:ascii="Calibri" w:cs="Calibri" w:eastAsia="Calibri" w:hAnsi="Calibri"/>
          <w:rtl w:val="0"/>
        </w:rPr>
        <w:t xml:space="preserve">tail licensee</w:t>
      </w:r>
      <w:r w:rsidDel="00000000" w:rsidR="00000000" w:rsidRPr="00000000">
        <w:rPr>
          <w:rFonts w:ascii="Calibri" w:cs="Calibri" w:eastAsia="Calibri" w:hAnsi="Calibri"/>
          <w:color w:val="000000"/>
          <w:rtl w:val="0"/>
        </w:rPr>
        <w:t xml:space="preserve"> where the delivery originated. The total amount of spirits delivered cannot exceed 9,000 milliliters per customer in any single 24-hour period. </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before="47" w:line="240" w:lineRule="auto"/>
        <w:ind w:left="25"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Link:</w:t>
      </w:r>
      <w:r w:rsidDel="00000000" w:rsidR="00000000" w:rsidRPr="00000000">
        <w:rPr>
          <w:rtl w:val="0"/>
        </w:rPr>
        <w:t xml:space="preserve"> </w:t>
      </w:r>
      <w:hyperlink r:id="rId11">
        <w:r w:rsidDel="00000000" w:rsidR="00000000" w:rsidRPr="00000000">
          <w:rPr>
            <w:rFonts w:ascii="Calibri" w:cs="Calibri" w:eastAsia="Calibri" w:hAnsi="Calibri"/>
            <w:color w:val="1155cc"/>
            <w:u w:val="single"/>
            <w:rtl w:val="0"/>
          </w:rPr>
          <w:t xml:space="preserve">http://alisondb.legislature.state.al.us/ALISON/SearchableInstruments/2021RS/PrintFiles/SB126-enr.pdf</w:t>
        </w:r>
      </w:hyperlink>
      <w:r w:rsidDel="00000000" w:rsidR="00000000" w:rsidRPr="00000000">
        <w:rPr>
          <w:rtl w:val="0"/>
        </w:rPr>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before="225" w:line="228" w:lineRule="auto"/>
        <w:ind w:left="19" w:right="4" w:firstLine="2.9999999999999982"/>
        <w:jc w:val="both"/>
        <w:rPr>
          <w:rFonts w:ascii="Calibri" w:cs="Calibri" w:eastAsia="Calibri" w:hAnsi="Calibri"/>
          <w:color w:val="000000"/>
        </w:rPr>
      </w:pPr>
      <w:r w:rsidDel="00000000" w:rsidR="00000000" w:rsidRPr="00000000">
        <w:rPr>
          <w:rFonts w:ascii="Calibri" w:cs="Calibri" w:eastAsia="Calibri" w:hAnsi="Calibri"/>
          <w:b w:val="1"/>
          <w:color w:val="000000"/>
          <w:u w:val="single"/>
          <w:rtl w:val="0"/>
        </w:rPr>
        <w:t xml:space="preserve">COVID-19 Measures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 Emergency rule 20-X-6-.19ER did not authorize direct shipment of alcohol to AL residents, but allowed licensees to sell off-premises via curbside pick-up or take-out. This measure was effective from December 14, 2020 to January 4</w:t>
      </w:r>
      <w:r w:rsidDel="00000000" w:rsidR="00000000" w:rsidRPr="00000000">
        <w:rPr>
          <w:rFonts w:ascii="Calibri" w:cs="Calibri" w:eastAsia="Calibri" w:hAnsi="Calibri"/>
          <w:color w:val="000000"/>
          <w:rtl w:val="0"/>
        </w:rPr>
        <w:t xml:space="preserve">, 2021. </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before="235" w:line="240" w:lineRule="auto"/>
        <w:ind w:left="23" w:firstLine="0"/>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Citation (shipment)</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before="225" w:line="240" w:lineRule="auto"/>
        <w:ind w:left="16"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AL Code </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pacing w:before="220" w:line="228" w:lineRule="auto"/>
        <w:ind w:left="22" w:right="2" w:firstLine="2.0000000000000018"/>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28-4-110 Carriage, delivery, etc., into state by common carrier, etc., of prohibited liquors and beverages generally. </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pacing w:before="4" w:line="228" w:lineRule="auto"/>
        <w:ind w:left="17" w:right="2" w:firstLine="3.000000000000000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It shall be unlawful for any common or other carrier or any other person, corporation or association or combination of persons to carry, bring or introduce into this state or to deliver to any person whomsoever in this state any of the prohibited liquors and beverages as defined by the laws of the State of Alabama in any quantity whatsoever, whether in original packages or otherwise and although brought from a point without the State of Alabama.  </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pacing w:before="4" w:line="240" w:lineRule="auto"/>
        <w:ind w:left="19" w:firstLine="0"/>
        <w:rPr>
          <w:rFonts w:ascii="Calibri" w:cs="Calibri" w:eastAsia="Calibri" w:hAnsi="Calibri"/>
          <w:color w:val="000080"/>
        </w:rPr>
      </w:pPr>
      <w:r w:rsidDel="00000000" w:rsidR="00000000" w:rsidRPr="00000000">
        <w:rPr>
          <w:rFonts w:ascii="Calibri" w:cs="Calibri" w:eastAsia="Calibri" w:hAnsi="Calibri"/>
          <w:b w:val="1"/>
          <w:color w:val="000000"/>
          <w:rtl w:val="0"/>
        </w:rPr>
        <w:t xml:space="preserve">Link</w:t>
      </w:r>
      <w:r w:rsidDel="00000000" w:rsidR="00000000" w:rsidRPr="00000000">
        <w:rPr>
          <w:rFonts w:ascii="Calibri" w:cs="Calibri" w:eastAsia="Calibri" w:hAnsi="Calibri"/>
          <w:color w:val="000000"/>
          <w:rtl w:val="0"/>
        </w:rPr>
        <w:t xml:space="preserve">: </w:t>
      </w:r>
      <w:hyperlink r:id="rId12">
        <w:r w:rsidDel="00000000" w:rsidR="00000000" w:rsidRPr="00000000">
          <w:rPr>
            <w:rFonts w:ascii="Calibri" w:cs="Calibri" w:eastAsia="Calibri" w:hAnsi="Calibri"/>
            <w:color w:val="1155cc"/>
            <w:u w:val="single"/>
            <w:rtl w:val="0"/>
          </w:rPr>
          <w:t xml:space="preserve">http://alisondb.legislature.state.al.us/alison/codeofalabama/1975/28-4-110.htm </w:t>
        </w:r>
      </w:hyperlink>
      <w:r w:rsidDel="00000000" w:rsidR="00000000" w:rsidRPr="00000000">
        <w:rPr>
          <w:rtl w:val="0"/>
        </w:rPr>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before="225" w:line="227" w:lineRule="auto"/>
        <w:ind w:left="12" w:right="2" w:firstLine="1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28-4-111 Receipt or acceptance from common carrier, etc., of prohibited liquors or beverages generally.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person shall receive or accept any prohibited liquors or beverages from a common carrier or other carrier, except alcohol in accordance with regulations and restrictions of the laws of Alabama and for the purposes prescribed by said laws and except wine for sacramental or religious purposes as permitted under law and then only if there is permanently pasted or attached to the container a copy of the prescription or affidavit upon authority of which it was prescribed or obtained.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8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http://alisondb.legislature.state.al.us/alison/codeofalabama/1975/28-4-111.htm</w:t>
        </w:r>
      </w:hyperlink>
      <w:r w:rsidDel="00000000" w:rsidR="00000000" w:rsidRPr="00000000">
        <w:rPr>
          <w:rFonts w:ascii="Calibri" w:cs="Calibri" w:eastAsia="Calibri" w:hAnsi="Calibri"/>
          <w:b w:val="0"/>
          <w:i w:val="0"/>
          <w:smallCaps w:val="0"/>
          <w:strike w:val="0"/>
          <w:color w:val="000080"/>
          <w:sz w:val="22"/>
          <w:szCs w:val="22"/>
          <w:u w:val="none"/>
          <w:shd w:fill="auto" w:val="clear"/>
          <w:vertAlign w:val="baseline"/>
          <w:rtl w:val="0"/>
        </w:rPr>
        <w:t xml:space="preserve"> </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before="236" w:line="228" w:lineRule="auto"/>
        <w:ind w:left="19" w:right="5" w:firstLine="6.000000000000001"/>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28-4-113 Acceptance for or shipment, transportation, delivery, etc., of prohibited liquors or beverages from point to point or along public streets or highways within state.  </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before="4" w:line="227" w:lineRule="auto"/>
        <w:ind w:left="16" w:right="4" w:firstLine="3.000000000000000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It shall be unlawful for any person, firm, corporation or association, whether a common carrier or not, to accept from another for shipment, transportation or delivery or to ship, transport or deliver for another said prohibited liquors or beverages or any of them when received at one point, place or locality in this state to be shipped or transported to or delivered to another person,  firm or corporation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at another point, place or locality in this state, or to convey or transport over or along any public street or highway any of such prohibited liquors for another. The provisions of this section shall not apply to those transporting and delivering to the persons, firms or corporations authorized by law to receive said prohibited liquors or beverages or any of them. Any person violating any provision of this section shall be guilty of a misdemeanor.  </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before="5" w:line="240" w:lineRule="auto"/>
        <w:ind w:left="19" w:firstLine="0"/>
        <w:rPr>
          <w:rFonts w:ascii="Calibri" w:cs="Calibri" w:eastAsia="Calibri" w:hAnsi="Calibri"/>
          <w:color w:val="000080"/>
        </w:rPr>
      </w:pPr>
      <w:r w:rsidDel="00000000" w:rsidR="00000000" w:rsidRPr="00000000">
        <w:rPr>
          <w:rFonts w:ascii="Calibri" w:cs="Calibri" w:eastAsia="Calibri" w:hAnsi="Calibri"/>
          <w:b w:val="1"/>
          <w:color w:val="000000"/>
          <w:rtl w:val="0"/>
        </w:rPr>
        <w:t xml:space="preserve">Link</w:t>
      </w:r>
      <w:r w:rsidDel="00000000" w:rsidR="00000000" w:rsidRPr="00000000">
        <w:rPr>
          <w:rFonts w:ascii="Calibri" w:cs="Calibri" w:eastAsia="Calibri" w:hAnsi="Calibri"/>
          <w:color w:val="000000"/>
          <w:rtl w:val="0"/>
        </w:rPr>
        <w:t xml:space="preserve">: </w:t>
      </w:r>
      <w:hyperlink r:id="rId14">
        <w:r w:rsidDel="00000000" w:rsidR="00000000" w:rsidRPr="00000000">
          <w:rPr>
            <w:rFonts w:ascii="Calibri" w:cs="Calibri" w:eastAsia="Calibri" w:hAnsi="Calibri"/>
            <w:color w:val="1155cc"/>
            <w:u w:val="single"/>
            <w:rtl w:val="0"/>
          </w:rPr>
          <w:t xml:space="preserve">http://alisondb.legislature.state.al.us/alison/codeofalabama/1975/28-4-113.htm </w:t>
        </w:r>
      </w:hyperlink>
      <w:r w:rsidDel="00000000" w:rsidR="00000000" w:rsidRPr="00000000">
        <w:rPr>
          <w:rtl w:val="0"/>
        </w:rPr>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before="225" w:line="240" w:lineRule="auto"/>
        <w:ind w:left="23" w:firstLine="0"/>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Citation (COVID-19)</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before="225" w:line="240" w:lineRule="auto"/>
        <w:ind w:left="16"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ABC Board Administrative Code  </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pacing w:before="225" w:line="240" w:lineRule="auto"/>
        <w:ind w:left="20"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20-X-6-.19ER. EMERGENCY CURBSIDE SALES AUTHORIZATION </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line="228" w:lineRule="auto"/>
        <w:ind w:left="14" w:right="4" w:firstLine="6.00000000000000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This emergency rule involves the suspension of the requirement for all sales to occur inside of a building on the licensed premises. Authorization of delivery or direct shipment of alcohol to consumers would require a change in the state law and requires legislative action. </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line="228" w:lineRule="auto"/>
        <w:ind w:left="14" w:right="4" w:firstLine="6.000000000000001"/>
        <w:jc w:val="both"/>
        <w:rPr>
          <w:rFonts w:ascii="Calibri" w:cs="Calibri" w:eastAsia="Calibri" w:hAnsi="Calibri"/>
        </w:rPr>
      </w:pPr>
      <w:r w:rsidDel="00000000" w:rsidR="00000000" w:rsidRPr="00000000">
        <w:rPr>
          <w:rtl w:val="0"/>
        </w:rPr>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line="228" w:lineRule="auto"/>
        <w:ind w:left="16" w:right="5"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 Alabama licensee who holds a Restaurant and Retail Liquor license that allows the sale of alcoholic beverages for on-premises consumption only may now sell for off-premises consumption using curbside pick-up or take-out services with the following restrictions: </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before="4" w:line="240" w:lineRule="auto"/>
        <w:ind w:left="15"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 The licensee may sell no more than one .375 liter (375 ml) bottle of spirits per customer.   </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line="228" w:lineRule="auto"/>
        <w:ind w:left="19" w:right="5" w:firstLine="3.999999999999999"/>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(i) Spirits may be sold in any size bottle(s), provided that the total amount of the spirits sold does not exceed </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line="228" w:lineRule="auto"/>
        <w:ind w:left="19" w:right="5" w:firstLine="3.999999999999999"/>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.375 liter (375 ml) per customer.    </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color w:val="1155cc"/>
        </w:rPr>
      </w:pPr>
      <w:r w:rsidDel="00000000" w:rsidR="00000000" w:rsidRPr="00000000">
        <w:rPr>
          <w:rFonts w:ascii="Calibri" w:cs="Calibri" w:eastAsia="Calibri" w:hAnsi="Calibri"/>
          <w:b w:val="1"/>
          <w:color w:val="000000"/>
          <w:rtl w:val="0"/>
        </w:rPr>
        <w:t xml:space="preserve">Link</w:t>
      </w:r>
      <w:r w:rsidDel="00000000" w:rsidR="00000000" w:rsidRPr="00000000">
        <w:rPr>
          <w:rFonts w:ascii="Calibri" w:cs="Calibri" w:eastAsia="Calibri" w:hAnsi="Calibri"/>
          <w:color w:val="000000"/>
          <w:rtl w:val="0"/>
        </w:rPr>
        <w:t xml:space="preserve">: </w:t>
      </w:r>
      <w:hyperlink r:id="rId15">
        <w:r w:rsidDel="00000000" w:rsidR="00000000" w:rsidRPr="00000000">
          <w:rPr>
            <w:rFonts w:ascii="Calibri" w:cs="Calibri" w:eastAsia="Calibri" w:hAnsi="Calibri"/>
            <w:color w:val="1155cc"/>
            <w:u w:val="single"/>
            <w:rtl w:val="0"/>
          </w:rPr>
          <w:t xml:space="preserve">https://alabcboard.gov/sites/default/files/inline-files/ABC%2020-X-6-.19%20ER%20%28004%29.pdf</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rPr>
      </w:pPr>
      <w:r w:rsidDel="00000000" w:rsidR="00000000" w:rsidRPr="00000000">
        <w:rPr>
          <w:rtl w:val="0"/>
        </w:rPr>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pacing w:line="228" w:lineRule="auto"/>
        <w:ind w:left="0" w:right="5" w:firstLine="0"/>
        <w:rPr>
          <w:rFonts w:ascii="Calibri" w:cs="Calibri" w:eastAsia="Calibri" w:hAnsi="Calibri"/>
        </w:rPr>
      </w:pPr>
      <w:r w:rsidDel="00000000" w:rsidR="00000000" w:rsidRPr="00000000">
        <w:rPr>
          <w:rtl w:val="0"/>
        </w:rPr>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pacing w:line="228" w:lineRule="auto"/>
        <w:ind w:left="19" w:right="5" w:firstLine="3.999999999999999"/>
        <w:rPr>
          <w:rFonts w:ascii="Calibri" w:cs="Calibri" w:eastAsia="Calibri" w:hAnsi="Calibri"/>
          <w:color w:val="000000"/>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rmoran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June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1">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D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3">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jc w:val="center"/>
      <w:rPr/>
    </w:pPr>
    <w:r w:rsidDel="00000000" w:rsidR="00000000" w:rsidRPr="00000000">
      <w:rPr/>
      <w:drawing>
        <wp:inline distB="114300" distT="114300" distL="114300" distR="114300">
          <wp:extent cx="922990" cy="1008850"/>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22990" cy="1008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NoSpacing">
    <w:name w:val="No Spacing"/>
    <w:uiPriority w:val="1"/>
    <w:qFormat w:val="1"/>
    <w:rsid w:val="00B9032B"/>
    <w:pPr>
      <w:spacing w:line="240" w:lineRule="auto"/>
    </w:pPr>
  </w:style>
  <w:style w:type="character" w:styleId="CommentReference">
    <w:name w:val="annotation reference"/>
    <w:basedOn w:val="DefaultParagraphFont"/>
    <w:uiPriority w:val="99"/>
    <w:semiHidden w:val="1"/>
    <w:unhideWhenUsed w:val="1"/>
    <w:rsid w:val="00AD1E25"/>
    <w:rPr>
      <w:sz w:val="16"/>
      <w:szCs w:val="16"/>
    </w:rPr>
  </w:style>
  <w:style w:type="paragraph" w:styleId="CommentText">
    <w:name w:val="annotation text"/>
    <w:basedOn w:val="Normal"/>
    <w:link w:val="CommentTextChar"/>
    <w:uiPriority w:val="99"/>
    <w:semiHidden w:val="1"/>
    <w:unhideWhenUsed w:val="1"/>
    <w:rsid w:val="00AD1E25"/>
    <w:pPr>
      <w:spacing w:line="240" w:lineRule="auto"/>
    </w:pPr>
    <w:rPr>
      <w:sz w:val="20"/>
      <w:szCs w:val="20"/>
    </w:rPr>
  </w:style>
  <w:style w:type="character" w:styleId="CommentTextChar" w:customStyle="1">
    <w:name w:val="Comment Text Char"/>
    <w:basedOn w:val="DefaultParagraphFont"/>
    <w:link w:val="CommentText"/>
    <w:uiPriority w:val="99"/>
    <w:semiHidden w:val="1"/>
    <w:rsid w:val="00AD1E25"/>
    <w:rPr>
      <w:sz w:val="20"/>
      <w:szCs w:val="20"/>
    </w:rPr>
  </w:style>
  <w:style w:type="paragraph" w:styleId="CommentSubject">
    <w:name w:val="annotation subject"/>
    <w:basedOn w:val="CommentText"/>
    <w:next w:val="CommentText"/>
    <w:link w:val="CommentSubjectChar"/>
    <w:uiPriority w:val="99"/>
    <w:semiHidden w:val="1"/>
    <w:unhideWhenUsed w:val="1"/>
    <w:rsid w:val="00AD1E25"/>
    <w:rPr>
      <w:b w:val="1"/>
      <w:bCs w:val="1"/>
    </w:rPr>
  </w:style>
  <w:style w:type="character" w:styleId="CommentSubjectChar" w:customStyle="1">
    <w:name w:val="Comment Subject Char"/>
    <w:basedOn w:val="CommentTextChar"/>
    <w:link w:val="CommentSubject"/>
    <w:uiPriority w:val="99"/>
    <w:semiHidden w:val="1"/>
    <w:rsid w:val="00AD1E25"/>
    <w:rPr>
      <w:b w:val="1"/>
      <w:bCs w:val="1"/>
      <w:sz w:val="20"/>
      <w:szCs w:val="20"/>
    </w:rPr>
  </w:style>
  <w:style w:type="character" w:styleId="Hyperlink">
    <w:name w:val="Hyperlink"/>
    <w:basedOn w:val="DefaultParagraphFont"/>
    <w:uiPriority w:val="99"/>
    <w:unhideWhenUsed w:val="1"/>
    <w:rsid w:val="001A4B67"/>
    <w:rPr>
      <w:color w:val="0000ff" w:themeColor="hyperlink"/>
      <w:u w:val="single"/>
    </w:rPr>
  </w:style>
  <w:style w:type="character" w:styleId="UnresolvedMention">
    <w:name w:val="Unresolved Mention"/>
    <w:basedOn w:val="DefaultParagraphFont"/>
    <w:uiPriority w:val="99"/>
    <w:semiHidden w:val="1"/>
    <w:unhideWhenUsed w:val="1"/>
    <w:rsid w:val="001A4B67"/>
    <w:rPr>
      <w:color w:val="605e5c"/>
      <w:shd w:color="auto" w:fill="e1dfdd" w:val="clear"/>
    </w:rPr>
  </w:style>
  <w:style w:type="paragraph" w:styleId="Header">
    <w:name w:val="header"/>
    <w:basedOn w:val="Normal"/>
    <w:link w:val="HeaderChar"/>
    <w:uiPriority w:val="99"/>
    <w:unhideWhenUsed w:val="1"/>
    <w:rsid w:val="002B4A4C"/>
    <w:pPr>
      <w:tabs>
        <w:tab w:val="center" w:pos="4680"/>
        <w:tab w:val="right" w:pos="9360"/>
      </w:tabs>
      <w:spacing w:line="240" w:lineRule="auto"/>
    </w:pPr>
  </w:style>
  <w:style w:type="character" w:styleId="HeaderChar" w:customStyle="1">
    <w:name w:val="Header Char"/>
    <w:basedOn w:val="DefaultParagraphFont"/>
    <w:link w:val="Header"/>
    <w:uiPriority w:val="99"/>
    <w:rsid w:val="002B4A4C"/>
  </w:style>
  <w:style w:type="paragraph" w:styleId="Footer">
    <w:name w:val="footer"/>
    <w:basedOn w:val="Normal"/>
    <w:link w:val="FooterChar"/>
    <w:uiPriority w:val="99"/>
    <w:unhideWhenUsed w:val="1"/>
    <w:rsid w:val="002B4A4C"/>
    <w:pPr>
      <w:tabs>
        <w:tab w:val="center" w:pos="4680"/>
        <w:tab w:val="right" w:pos="9360"/>
      </w:tabs>
      <w:spacing w:line="240" w:lineRule="auto"/>
    </w:pPr>
  </w:style>
  <w:style w:type="character" w:styleId="FooterChar" w:customStyle="1">
    <w:name w:val="Footer Char"/>
    <w:basedOn w:val="DefaultParagraphFont"/>
    <w:link w:val="Footer"/>
    <w:uiPriority w:val="99"/>
    <w:rsid w:val="002B4A4C"/>
  </w:style>
  <w:style w:type="character" w:styleId="FollowedHyperlink">
    <w:name w:val="FollowedHyperlink"/>
    <w:basedOn w:val="DefaultParagraphFont"/>
    <w:uiPriority w:val="99"/>
    <w:semiHidden w:val="1"/>
    <w:unhideWhenUsed w:val="1"/>
    <w:rsid w:val="002B4A4C"/>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alisondb.legislature.state.al.us/ALISON/SearchableInstruments/2021RS/PrintFiles/SB126-enr.pdf" TargetMode="External"/><Relationship Id="rId10" Type="http://schemas.openxmlformats.org/officeDocument/2006/relationships/footer" Target="footer1.xml"/><Relationship Id="rId13" Type="http://schemas.openxmlformats.org/officeDocument/2006/relationships/hyperlink" Target="http://alisondb.legislature.state.al.us/alison/codeofalabama/1975/28-4-111.htm" TargetMode="External"/><Relationship Id="rId12" Type="http://schemas.openxmlformats.org/officeDocument/2006/relationships/hyperlink" Target="http://alisondb.legislature.state.al.us/alison/codeofalabama/1975/28-4-110.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s://alabcboard.gov/sites/default/files/inline-files/ABC%2020-X-6-.19%20ER%20%28004%29.pdf" TargetMode="External"/><Relationship Id="rId14" Type="http://schemas.openxmlformats.org/officeDocument/2006/relationships/hyperlink" Target="http://alisondb.legislature.state.al.us/alison/codeofalabama/1975/28-4-113.ht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rmorant-regular.ttf"/><Relationship Id="rId2" Type="http://schemas.openxmlformats.org/officeDocument/2006/relationships/font" Target="fonts/Cormorant-bold.ttf"/><Relationship Id="rId3" Type="http://schemas.openxmlformats.org/officeDocument/2006/relationships/font" Target="fonts/Cormorant-italic.ttf"/><Relationship Id="rId4" Type="http://schemas.openxmlformats.org/officeDocument/2006/relationships/font" Target="fonts/Cormorant-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MAb04ukX9luOBaWkyyMGWV67A==">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2021-05-24T19:38:00Z</dcterms:created>
</cp:coreProperties>
</file>